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E21021" w:rsidRPr="00E21021">
        <w:trPr>
          <w:tblCellSpacing w:w="0" w:type="dxa"/>
          <w:jc w:val="center"/>
        </w:trPr>
        <w:tc>
          <w:tcPr>
            <w:tcW w:w="0" w:type="auto"/>
            <w:vAlign w:val="center"/>
            <w:hideMark/>
          </w:tcPr>
          <w:p w:rsidR="00E21021" w:rsidRPr="00E21021" w:rsidRDefault="00E21021" w:rsidP="00E21021">
            <w:pPr>
              <w:widowControl/>
              <w:jc w:val="center"/>
              <w:rPr>
                <w:rFonts w:ascii="宋体" w:eastAsia="宋体" w:hAnsi="宋体" w:cs="宋体"/>
                <w:b/>
                <w:bCs/>
                <w:color w:val="333333"/>
                <w:kern w:val="0"/>
                <w:sz w:val="24"/>
                <w:szCs w:val="24"/>
              </w:rPr>
            </w:pPr>
            <w:r w:rsidRPr="00E21021">
              <w:rPr>
                <w:rFonts w:ascii="宋体" w:eastAsia="宋体" w:hAnsi="宋体" w:cs="宋体" w:hint="eastAsia"/>
                <w:b/>
                <w:bCs/>
                <w:color w:val="333333"/>
                <w:kern w:val="0"/>
                <w:sz w:val="24"/>
                <w:szCs w:val="24"/>
              </w:rPr>
              <w:t xml:space="preserve">关于修订《安徽工业大学公共选修课管理办法》的通知 </w:t>
            </w:r>
          </w:p>
        </w:tc>
      </w:tr>
      <w:tr w:rsidR="00E21021" w:rsidRPr="00E21021">
        <w:trPr>
          <w:trHeight w:val="450"/>
          <w:tblCellSpacing w:w="0" w:type="dxa"/>
          <w:jc w:val="center"/>
        </w:trPr>
        <w:tc>
          <w:tcPr>
            <w:tcW w:w="0" w:type="auto"/>
            <w:vAlign w:val="center"/>
            <w:hideMark/>
          </w:tcPr>
          <w:p w:rsidR="00E21021" w:rsidRPr="00E21021" w:rsidRDefault="00E21021" w:rsidP="00E21021">
            <w:pPr>
              <w:widowControl/>
              <w:jc w:val="center"/>
              <w:rPr>
                <w:rFonts w:ascii="宋体" w:eastAsia="宋体" w:hAnsi="宋体" w:cs="宋体"/>
                <w:color w:val="333333"/>
                <w:kern w:val="0"/>
                <w:sz w:val="18"/>
                <w:szCs w:val="18"/>
              </w:rPr>
            </w:pPr>
            <w:r w:rsidRPr="00E21021">
              <w:rPr>
                <w:rFonts w:ascii="宋体" w:eastAsia="宋体" w:hAnsi="宋体" w:cs="宋体" w:hint="eastAsia"/>
                <w:color w:val="333333"/>
                <w:kern w:val="0"/>
                <w:sz w:val="18"/>
              </w:rPr>
              <w:t>2013-06-06 09:29</w:t>
            </w:r>
            <w:r w:rsidRPr="00E21021">
              <w:rPr>
                <w:rFonts w:ascii="宋体" w:eastAsia="宋体" w:hAnsi="宋体" w:cs="宋体" w:hint="eastAsia"/>
                <w:color w:val="333333"/>
                <w:kern w:val="0"/>
                <w:sz w:val="18"/>
                <w:szCs w:val="18"/>
              </w:rPr>
              <w:t xml:space="preserve"> </w:t>
            </w:r>
          </w:p>
        </w:tc>
      </w:tr>
      <w:tr w:rsidR="00E21021" w:rsidRPr="00E21021">
        <w:trPr>
          <w:tblCellSpacing w:w="0" w:type="dxa"/>
          <w:jc w:val="center"/>
        </w:trPr>
        <w:tc>
          <w:tcPr>
            <w:tcW w:w="0" w:type="auto"/>
            <w:vAlign w:val="center"/>
            <w:hideMark/>
          </w:tcPr>
          <w:p w:rsidR="00E21021" w:rsidRPr="00E21021" w:rsidRDefault="00E21021" w:rsidP="00E21021">
            <w:pPr>
              <w:widowControl/>
              <w:jc w:val="right"/>
              <w:rPr>
                <w:rFonts w:ascii="宋体" w:eastAsia="宋体" w:hAnsi="宋体" w:cs="宋体"/>
                <w:color w:val="333333"/>
                <w:kern w:val="0"/>
                <w:sz w:val="18"/>
                <w:szCs w:val="18"/>
              </w:rPr>
            </w:pPr>
          </w:p>
        </w:tc>
      </w:tr>
      <w:tr w:rsidR="00E21021" w:rsidRPr="00E21021">
        <w:trPr>
          <w:tblCellSpacing w:w="0" w:type="dxa"/>
          <w:jc w:val="center"/>
        </w:trPr>
        <w:tc>
          <w:tcPr>
            <w:tcW w:w="0" w:type="auto"/>
            <w:vAlign w:val="center"/>
            <w:hideMark/>
          </w:tcPr>
          <w:p w:rsidR="00E21021" w:rsidRPr="00E21021" w:rsidRDefault="00E21021" w:rsidP="00E21021">
            <w:pPr>
              <w:widowControl/>
              <w:jc w:val="left"/>
              <w:rPr>
                <w:rFonts w:ascii="宋体" w:eastAsia="宋体" w:hAnsi="宋体" w:cs="宋体"/>
                <w:color w:val="333333"/>
                <w:kern w:val="0"/>
                <w:sz w:val="18"/>
                <w:szCs w:val="18"/>
              </w:rPr>
            </w:pPr>
          </w:p>
        </w:tc>
      </w:tr>
      <w:tr w:rsidR="00E21021" w:rsidRPr="00E21021">
        <w:trPr>
          <w:tblCellSpacing w:w="0" w:type="dxa"/>
          <w:jc w:val="center"/>
        </w:trPr>
        <w:tc>
          <w:tcPr>
            <w:tcW w:w="0" w:type="auto"/>
            <w:vAlign w:val="center"/>
            <w:hideMark/>
          </w:tcPr>
          <w:p w:rsidR="00E21021" w:rsidRPr="00E21021" w:rsidRDefault="00E21021" w:rsidP="00E21021">
            <w:pPr>
              <w:widowControl/>
              <w:spacing w:line="360" w:lineRule="exact"/>
              <w:jc w:val="center"/>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教学〔2013〕9号</w:t>
            </w:r>
          </w:p>
          <w:p w:rsidR="00E21021" w:rsidRPr="00E21021" w:rsidRDefault="00E21021" w:rsidP="00E21021">
            <w:pPr>
              <w:widowControl/>
              <w:snapToGrid w:val="0"/>
              <w:spacing w:line="600" w:lineRule="exact"/>
              <w:jc w:val="left"/>
              <w:rPr>
                <w:rFonts w:ascii="楷体_GB2312" w:eastAsia="楷体_GB2312" w:hAnsi="宋体" w:cs="宋体" w:hint="eastAsia"/>
                <w:bCs/>
                <w:color w:val="333333"/>
                <w:kern w:val="0"/>
                <w:sz w:val="32"/>
                <w:szCs w:val="32"/>
              </w:rPr>
            </w:pPr>
          </w:p>
          <w:p w:rsidR="00E21021" w:rsidRPr="00E21021" w:rsidRDefault="00E21021" w:rsidP="00E21021">
            <w:pPr>
              <w:widowControl/>
              <w:snapToGrid w:val="0"/>
              <w:spacing w:line="600" w:lineRule="exact"/>
              <w:jc w:val="left"/>
              <w:rPr>
                <w:rFonts w:ascii="仿宋_GB2312" w:eastAsia="仿宋_GB2312" w:hAnsi="宋体" w:cs="宋体" w:hint="eastAsia"/>
                <w:bCs/>
                <w:color w:val="333333"/>
                <w:kern w:val="0"/>
                <w:sz w:val="32"/>
                <w:szCs w:val="32"/>
              </w:rPr>
            </w:pPr>
            <w:r w:rsidRPr="00E21021">
              <w:rPr>
                <w:rFonts w:ascii="仿宋_GB2312" w:eastAsia="仿宋_GB2312" w:hAnsi="宋体" w:cs="宋体" w:hint="eastAsia"/>
                <w:bCs/>
                <w:color w:val="333333"/>
                <w:kern w:val="0"/>
                <w:sz w:val="32"/>
                <w:szCs w:val="32"/>
              </w:rPr>
              <w:t>各院（部）、行政有关部门：</w:t>
            </w:r>
          </w:p>
          <w:p w:rsidR="00E21021" w:rsidRPr="00E21021" w:rsidRDefault="00E21021" w:rsidP="00E21021">
            <w:pPr>
              <w:widowControl/>
              <w:snapToGrid w:val="0"/>
              <w:spacing w:line="600" w:lineRule="exact"/>
              <w:jc w:val="left"/>
              <w:rPr>
                <w:rFonts w:ascii="仿宋_GB2312" w:eastAsia="仿宋_GB2312" w:hAnsi="宋体" w:cs="宋体" w:hint="eastAsia"/>
                <w:bCs/>
                <w:color w:val="333333"/>
                <w:kern w:val="0"/>
                <w:sz w:val="32"/>
                <w:szCs w:val="32"/>
              </w:rPr>
            </w:pPr>
            <w:r w:rsidRPr="00E21021">
              <w:rPr>
                <w:rFonts w:ascii="仿宋_GB2312" w:eastAsia="仿宋_GB2312" w:hAnsi="宋体" w:cs="宋体" w:hint="eastAsia"/>
                <w:bCs/>
                <w:color w:val="333333"/>
                <w:kern w:val="0"/>
                <w:sz w:val="32"/>
                <w:szCs w:val="32"/>
              </w:rPr>
              <w:t>经校领导同意，将修订后的《安徽工业大学公共选修课管理办法》予以印发，请遵照执行。</w:t>
            </w:r>
          </w:p>
          <w:p w:rsidR="00E21021" w:rsidRPr="00E21021" w:rsidRDefault="00E21021" w:rsidP="00E21021">
            <w:pPr>
              <w:widowControl/>
              <w:snapToGrid w:val="0"/>
              <w:spacing w:line="600" w:lineRule="exact"/>
              <w:jc w:val="left"/>
              <w:rPr>
                <w:rFonts w:ascii="仿宋_GB2312" w:eastAsia="仿宋_GB2312" w:hAnsi="宋体" w:cs="宋体" w:hint="eastAsia"/>
                <w:bCs/>
                <w:color w:val="333333"/>
                <w:kern w:val="0"/>
                <w:sz w:val="32"/>
                <w:szCs w:val="32"/>
              </w:rPr>
            </w:pPr>
          </w:p>
          <w:p w:rsidR="00E21021" w:rsidRPr="00E21021" w:rsidRDefault="00E21021" w:rsidP="00E21021">
            <w:pPr>
              <w:widowControl/>
              <w:snapToGrid w:val="0"/>
              <w:spacing w:line="600" w:lineRule="exact"/>
              <w:jc w:val="left"/>
              <w:rPr>
                <w:rFonts w:ascii="仿宋_GB2312" w:eastAsia="仿宋_GB2312" w:hAnsi="宋体" w:cs="宋体" w:hint="eastAsia"/>
                <w:bCs/>
                <w:color w:val="333333"/>
                <w:kern w:val="0"/>
                <w:sz w:val="32"/>
                <w:szCs w:val="32"/>
              </w:rPr>
            </w:pPr>
          </w:p>
          <w:p w:rsidR="00E21021" w:rsidRPr="00E21021" w:rsidRDefault="00E21021" w:rsidP="00E21021">
            <w:pPr>
              <w:widowControl/>
              <w:snapToGrid w:val="0"/>
              <w:spacing w:line="600" w:lineRule="exact"/>
              <w:jc w:val="left"/>
              <w:rPr>
                <w:rFonts w:ascii="仿宋_GB2312" w:eastAsia="仿宋_GB2312" w:hAnsi="宋体" w:cs="宋体" w:hint="eastAsia"/>
                <w:bCs/>
                <w:color w:val="333333"/>
                <w:kern w:val="0"/>
                <w:sz w:val="32"/>
                <w:szCs w:val="32"/>
              </w:rPr>
            </w:pPr>
          </w:p>
          <w:p w:rsidR="00E21021" w:rsidRPr="00E21021" w:rsidRDefault="00E21021" w:rsidP="00E21021">
            <w:pPr>
              <w:widowControl/>
              <w:snapToGrid w:val="0"/>
              <w:spacing w:line="600" w:lineRule="exact"/>
              <w:jc w:val="left"/>
              <w:rPr>
                <w:rFonts w:ascii="仿宋_GB2312" w:eastAsia="仿宋_GB2312" w:hAnsi="宋体" w:cs="宋体" w:hint="eastAsia"/>
                <w:bCs/>
                <w:color w:val="333333"/>
                <w:kern w:val="0"/>
                <w:sz w:val="32"/>
                <w:szCs w:val="32"/>
              </w:rPr>
            </w:pPr>
            <w:r w:rsidRPr="00E21021">
              <w:rPr>
                <w:rFonts w:ascii="仿宋_GB2312" w:eastAsia="仿宋_GB2312" w:hAnsi="宋体" w:cs="宋体" w:hint="eastAsia"/>
                <w:bCs/>
                <w:color w:val="333333"/>
                <w:kern w:val="0"/>
                <w:sz w:val="32"/>
                <w:szCs w:val="32"/>
              </w:rPr>
              <w:t>安徽工业大学教务处</w:t>
            </w:r>
          </w:p>
          <w:p w:rsidR="00E21021" w:rsidRPr="00E21021" w:rsidRDefault="00E21021" w:rsidP="00E21021">
            <w:pPr>
              <w:widowControl/>
              <w:snapToGrid w:val="0"/>
              <w:spacing w:line="600" w:lineRule="exact"/>
              <w:ind w:firstLineChars="1750" w:firstLine="5600"/>
              <w:jc w:val="left"/>
              <w:rPr>
                <w:rFonts w:ascii="仿宋_GB2312" w:eastAsia="仿宋_GB2312" w:hAnsi="宋体" w:cs="宋体" w:hint="eastAsia"/>
                <w:bCs/>
                <w:color w:val="333333"/>
                <w:kern w:val="0"/>
                <w:sz w:val="32"/>
                <w:szCs w:val="32"/>
              </w:rPr>
            </w:pPr>
            <w:r w:rsidRPr="00E21021">
              <w:rPr>
                <w:rFonts w:ascii="仿宋_GB2312" w:eastAsia="仿宋_GB2312" w:hAnsi="宋体" w:cs="宋体" w:hint="eastAsia"/>
                <w:bCs/>
                <w:color w:val="333333"/>
                <w:kern w:val="0"/>
                <w:sz w:val="32"/>
                <w:szCs w:val="32"/>
              </w:rPr>
              <w:t>2013年5月21日</w:t>
            </w:r>
          </w:p>
          <w:p w:rsidR="00E21021" w:rsidRPr="00E21021" w:rsidRDefault="00E21021" w:rsidP="00E21021">
            <w:pPr>
              <w:widowControl/>
              <w:snapToGrid w:val="0"/>
              <w:spacing w:line="600" w:lineRule="exact"/>
              <w:jc w:val="left"/>
              <w:rPr>
                <w:rFonts w:ascii="仿宋_GB2312" w:eastAsia="仿宋_GB2312" w:hAnsi="宋体" w:cs="宋体" w:hint="eastAsia"/>
                <w:bCs/>
                <w:color w:val="333333"/>
                <w:kern w:val="0"/>
                <w:sz w:val="32"/>
                <w:szCs w:val="32"/>
              </w:rPr>
            </w:pPr>
          </w:p>
          <w:p w:rsidR="00E21021" w:rsidRPr="00E21021" w:rsidRDefault="00E21021" w:rsidP="00E21021">
            <w:pPr>
              <w:widowControl/>
              <w:spacing w:line="600" w:lineRule="exact"/>
              <w:jc w:val="center"/>
              <w:rPr>
                <w:rFonts w:ascii="宋体" w:eastAsia="宋体" w:hAnsi="宋体" w:cs="宋体" w:hint="eastAsia"/>
                <w:bCs/>
                <w:color w:val="333333"/>
                <w:kern w:val="0"/>
                <w:sz w:val="32"/>
                <w:szCs w:val="32"/>
              </w:rPr>
            </w:pPr>
          </w:p>
          <w:p w:rsidR="00E21021" w:rsidRPr="00E21021" w:rsidRDefault="00E21021" w:rsidP="00E21021">
            <w:pPr>
              <w:widowControl/>
              <w:spacing w:line="720" w:lineRule="exact"/>
              <w:jc w:val="center"/>
              <w:rPr>
                <w:rFonts w:ascii="方正小标宋简体" w:eastAsia="方正小标宋简体" w:hAnsi="宋体" w:cs="宋体"/>
                <w:bCs/>
                <w:color w:val="333333"/>
                <w:kern w:val="0"/>
                <w:sz w:val="44"/>
                <w:szCs w:val="44"/>
              </w:rPr>
            </w:pPr>
            <w:r w:rsidRPr="00E21021">
              <w:rPr>
                <w:rFonts w:ascii="方正小标宋简体" w:eastAsia="方正小标宋简体" w:hAnsi="宋体" w:cs="宋体" w:hint="eastAsia"/>
                <w:bCs/>
                <w:color w:val="333333"/>
                <w:kern w:val="0"/>
                <w:sz w:val="44"/>
                <w:szCs w:val="44"/>
              </w:rPr>
              <w:t>安徽工业大学公共选修课管理办法</w:t>
            </w:r>
          </w:p>
          <w:p w:rsidR="00E21021" w:rsidRPr="00E21021" w:rsidRDefault="00E21021" w:rsidP="00E21021">
            <w:pPr>
              <w:widowControl/>
              <w:spacing w:line="600" w:lineRule="exact"/>
              <w:jc w:val="center"/>
              <w:rPr>
                <w:rFonts w:ascii="宋体" w:eastAsia="楷体_GB2312" w:hAnsi="宋体" w:cs="宋体" w:hint="eastAsia"/>
                <w:color w:val="333333"/>
                <w:kern w:val="0"/>
                <w:sz w:val="32"/>
                <w:szCs w:val="32"/>
              </w:rPr>
            </w:pPr>
          </w:p>
          <w:p w:rsidR="00E21021" w:rsidRPr="00E21021" w:rsidRDefault="00E21021" w:rsidP="00E21021">
            <w:pPr>
              <w:widowControl/>
              <w:spacing w:line="600" w:lineRule="exact"/>
              <w:ind w:firstLineChars="200" w:firstLine="652"/>
              <w:jc w:val="left"/>
              <w:rPr>
                <w:rFonts w:ascii="仿宋_GB2312" w:eastAsia="仿宋_GB2312" w:hAnsi="宋体" w:cs="宋体"/>
                <w:color w:val="333333"/>
                <w:spacing w:val="3"/>
                <w:kern w:val="0"/>
                <w:sz w:val="32"/>
                <w:szCs w:val="32"/>
              </w:rPr>
            </w:pPr>
            <w:r w:rsidRPr="00E21021">
              <w:rPr>
                <w:rFonts w:ascii="仿宋_GB2312" w:eastAsia="仿宋_GB2312" w:hAnsi="宋体" w:cs="宋体" w:hint="eastAsia"/>
                <w:color w:val="333333"/>
                <w:spacing w:val="3"/>
                <w:kern w:val="0"/>
                <w:sz w:val="32"/>
                <w:szCs w:val="32"/>
              </w:rPr>
              <w:t>为规范公共选修课教学管理，现对</w:t>
            </w:r>
            <w:r w:rsidRPr="00E21021">
              <w:rPr>
                <w:rFonts w:ascii="仿宋_GB2312" w:eastAsia="仿宋_GB2312" w:hAnsi="宋体" w:cs="宋体" w:hint="eastAsia"/>
                <w:color w:val="333333"/>
                <w:kern w:val="0"/>
                <w:sz w:val="32"/>
                <w:szCs w:val="32"/>
              </w:rPr>
              <w:t>原《</w:t>
            </w:r>
            <w:r w:rsidRPr="00E21021">
              <w:rPr>
                <w:rFonts w:ascii="仿宋_GB2312" w:eastAsia="仿宋_GB2312" w:hAnsi="宋体" w:cs="宋体" w:hint="eastAsia"/>
                <w:bCs/>
                <w:color w:val="333333"/>
                <w:kern w:val="0"/>
                <w:sz w:val="32"/>
                <w:szCs w:val="32"/>
              </w:rPr>
              <w:t>安徽工业大学公共选修课管理办法</w:t>
            </w:r>
            <w:r w:rsidRPr="00E21021">
              <w:rPr>
                <w:rFonts w:ascii="仿宋_GB2312" w:eastAsia="仿宋_GB2312" w:hAnsi="宋体" w:cs="宋体" w:hint="eastAsia"/>
                <w:color w:val="333333"/>
                <w:kern w:val="0"/>
                <w:sz w:val="32"/>
                <w:szCs w:val="32"/>
              </w:rPr>
              <w:t>》（教学〔2006〕2号）进行修订，修订后的内容如下。</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一、公共选课修是全校人文素质公共基础选修课的简称，按课程性质分为经管文法</w:t>
            </w:r>
            <w:proofErr w:type="gramStart"/>
            <w:r w:rsidRPr="00E21021">
              <w:rPr>
                <w:rFonts w:ascii="仿宋_GB2312" w:eastAsia="仿宋_GB2312" w:hAnsi="宋体" w:cs="宋体" w:hint="eastAsia"/>
                <w:color w:val="333333"/>
                <w:kern w:val="0"/>
                <w:sz w:val="32"/>
                <w:szCs w:val="32"/>
              </w:rPr>
              <w:t>社政类</w:t>
            </w:r>
            <w:proofErr w:type="gramEnd"/>
            <w:r w:rsidRPr="00E21021">
              <w:rPr>
                <w:rFonts w:ascii="仿宋_GB2312" w:eastAsia="仿宋_GB2312" w:hAnsi="宋体" w:cs="宋体" w:hint="eastAsia"/>
                <w:color w:val="333333"/>
                <w:kern w:val="0"/>
                <w:sz w:val="32"/>
                <w:szCs w:val="32"/>
              </w:rPr>
              <w:t>、理工自然科学类、艺术类、体育类、三创（创造、创新、创业）教育系列课程类等五类。</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二、课程编号规则</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lastRenderedPageBreak/>
              <w:t>公共选修课课程编号由8位数字组成，其中第1－2位数字代表“开课单位”；第3－4位数字为开课系代码，统一规定为“00”；第5－6位数字为课程属性代码，详见下表；第7－8位数字为课程流水号。</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6"/>
              <w:gridCol w:w="3624"/>
            </w:tblGrid>
            <w:tr w:rsidR="00E21021" w:rsidRPr="00E21021" w:rsidTr="00E21021">
              <w:trPr>
                <w:jc w:val="center"/>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021" w:rsidRPr="00E21021" w:rsidRDefault="00E21021" w:rsidP="00E21021">
                  <w:pPr>
                    <w:widowControl/>
                    <w:spacing w:line="600" w:lineRule="exact"/>
                    <w:jc w:val="center"/>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课程属性代码</w:t>
                  </w:r>
                </w:p>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（课程编号第5－6位）</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公共选修课类别</w:t>
                  </w:r>
                </w:p>
              </w:tc>
            </w:tr>
            <w:tr w:rsidR="00E21021" w:rsidRPr="00E21021" w:rsidTr="00E21021">
              <w:trPr>
                <w:jc w:val="center"/>
              </w:trPr>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10</w:t>
                  </w:r>
                </w:p>
              </w:tc>
              <w:tc>
                <w:tcPr>
                  <w:tcW w:w="3624"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经管文法</w:t>
                  </w:r>
                  <w:proofErr w:type="gramStart"/>
                  <w:r w:rsidRPr="00E21021">
                    <w:rPr>
                      <w:rFonts w:ascii="仿宋_GB2312" w:eastAsia="仿宋_GB2312" w:hAnsi="宋体" w:cs="宋体" w:hint="eastAsia"/>
                      <w:color w:val="333333"/>
                      <w:kern w:val="0"/>
                      <w:sz w:val="32"/>
                      <w:szCs w:val="32"/>
                    </w:rPr>
                    <w:t>社政类</w:t>
                  </w:r>
                  <w:proofErr w:type="gramEnd"/>
                </w:p>
              </w:tc>
            </w:tr>
            <w:tr w:rsidR="00E21021" w:rsidRPr="00E21021" w:rsidTr="00E21021">
              <w:trPr>
                <w:jc w:val="center"/>
              </w:trPr>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11</w:t>
                  </w:r>
                </w:p>
              </w:tc>
              <w:tc>
                <w:tcPr>
                  <w:tcW w:w="3624"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理工自然科学类</w:t>
                  </w:r>
                </w:p>
              </w:tc>
            </w:tr>
            <w:tr w:rsidR="00E21021" w:rsidRPr="00E21021" w:rsidTr="00E21021">
              <w:trPr>
                <w:jc w:val="center"/>
              </w:trPr>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12</w:t>
                  </w:r>
                </w:p>
              </w:tc>
              <w:tc>
                <w:tcPr>
                  <w:tcW w:w="3624"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艺术类</w:t>
                  </w:r>
                </w:p>
              </w:tc>
            </w:tr>
            <w:tr w:rsidR="00E21021" w:rsidRPr="00E21021" w:rsidTr="00E21021">
              <w:trPr>
                <w:jc w:val="center"/>
              </w:trPr>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13</w:t>
                  </w:r>
                </w:p>
              </w:tc>
              <w:tc>
                <w:tcPr>
                  <w:tcW w:w="3624"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三创教育系列课程类</w:t>
                  </w:r>
                </w:p>
              </w:tc>
            </w:tr>
            <w:tr w:rsidR="00E21021" w:rsidRPr="00E21021" w:rsidTr="00E21021">
              <w:trPr>
                <w:jc w:val="center"/>
              </w:trPr>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14</w:t>
                  </w:r>
                </w:p>
              </w:tc>
              <w:tc>
                <w:tcPr>
                  <w:tcW w:w="3624" w:type="dxa"/>
                  <w:tcBorders>
                    <w:top w:val="single" w:sz="4" w:space="0" w:color="auto"/>
                    <w:left w:val="single" w:sz="4" w:space="0" w:color="auto"/>
                    <w:bottom w:val="single" w:sz="4" w:space="0" w:color="auto"/>
                    <w:right w:val="single" w:sz="4" w:space="0" w:color="auto"/>
                  </w:tcBorders>
                  <w:shd w:val="clear" w:color="auto" w:fill="auto"/>
                  <w:hideMark/>
                </w:tcPr>
                <w:p w:rsidR="00E21021" w:rsidRPr="00E21021" w:rsidRDefault="00E21021" w:rsidP="00E21021">
                  <w:pPr>
                    <w:widowControl/>
                    <w:spacing w:line="600" w:lineRule="exact"/>
                    <w:jc w:val="center"/>
                    <w:rPr>
                      <w:rFonts w:ascii="仿宋_GB2312" w:eastAsia="仿宋_GB2312" w:hAnsi="宋体" w:cs="宋体"/>
                      <w:color w:val="333333"/>
                      <w:kern w:val="0"/>
                      <w:sz w:val="32"/>
                      <w:szCs w:val="32"/>
                    </w:rPr>
                  </w:pPr>
                  <w:r w:rsidRPr="00E21021">
                    <w:rPr>
                      <w:rFonts w:ascii="仿宋_GB2312" w:eastAsia="仿宋_GB2312" w:hAnsi="宋体" w:cs="宋体" w:hint="eastAsia"/>
                      <w:color w:val="333333"/>
                      <w:kern w:val="0"/>
                      <w:sz w:val="32"/>
                      <w:szCs w:val="32"/>
                    </w:rPr>
                    <w:t>体育类</w:t>
                  </w:r>
                </w:p>
              </w:tc>
            </w:tr>
          </w:tbl>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三、申请开设公共选修课的教师应在本学期第14-16周，填报下学期“公共选修课开课申请表”，首次开设该课程的须提交课程教学大纲，经学院审核，教务处审批后列入公共选修课开课目录。公共选修课一旦开设，其教学环节按必修课的要求进行管理。</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四、选修要求</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1．各专业学生依据公共选修课目录及各课程学分数并根据自己的情况选择不同门类课程，每学期选修不超过2门课。学生在校期间必须完成教学计划规定的公共选修课学分方可毕业。</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2．各学科专业的学生不得选修与本专业必修课（</w:t>
            </w:r>
            <w:proofErr w:type="gramStart"/>
            <w:r w:rsidRPr="00E21021">
              <w:rPr>
                <w:rFonts w:ascii="仿宋_GB2312" w:eastAsia="仿宋_GB2312" w:hAnsi="宋体" w:cs="宋体" w:hint="eastAsia"/>
                <w:color w:val="333333"/>
                <w:kern w:val="0"/>
                <w:sz w:val="32"/>
                <w:szCs w:val="32"/>
              </w:rPr>
              <w:t>含限</w:t>
            </w:r>
            <w:r w:rsidRPr="00E21021">
              <w:rPr>
                <w:rFonts w:ascii="仿宋_GB2312" w:eastAsia="仿宋_GB2312" w:hAnsi="宋体" w:cs="宋体" w:hint="eastAsia"/>
                <w:color w:val="333333"/>
                <w:kern w:val="0"/>
                <w:sz w:val="32"/>
                <w:szCs w:val="32"/>
              </w:rPr>
              <w:lastRenderedPageBreak/>
              <w:t>选课</w:t>
            </w:r>
            <w:proofErr w:type="gramEnd"/>
            <w:r w:rsidRPr="00E21021">
              <w:rPr>
                <w:rFonts w:ascii="仿宋_GB2312" w:eastAsia="仿宋_GB2312" w:hAnsi="宋体" w:cs="宋体" w:hint="eastAsia"/>
                <w:color w:val="333333"/>
                <w:kern w:val="0"/>
                <w:sz w:val="32"/>
                <w:szCs w:val="32"/>
              </w:rPr>
              <w:t>）相同或相近的公共选修课。</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五、选课程序</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1．每学期第一周教务处公布本学期拟开设的公共选修课开课目录。</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2．学生在选课系统中进行网上选课。选课人数大于20人准予开课。</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3．选课只进行一轮，不办理补、退选。</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六、公共选修课的选课管理办法按《安徽工业大学选课管理规定》执行。</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七、公共选修课考核及成绩管理办法依据《安徽工业大学考试工作管理办法》与《安徽工业大学学生课程成绩管理细则》执行。</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八、学生考核成绩合格，取得规定的学分。对不及格的课程，学生应重新选修该课程或其它课程。</w:t>
            </w:r>
          </w:p>
          <w:p w:rsidR="00E21021" w:rsidRPr="00E21021" w:rsidRDefault="00E21021" w:rsidP="00E21021">
            <w:pPr>
              <w:widowControl/>
              <w:spacing w:line="600" w:lineRule="exact"/>
              <w:ind w:firstLineChars="200" w:firstLine="640"/>
              <w:jc w:val="left"/>
              <w:rPr>
                <w:rFonts w:ascii="仿宋_GB2312" w:eastAsia="仿宋_GB2312" w:hAnsi="宋体" w:cs="宋体" w:hint="eastAsia"/>
                <w:color w:val="333333"/>
                <w:kern w:val="0"/>
                <w:sz w:val="32"/>
                <w:szCs w:val="32"/>
              </w:rPr>
            </w:pPr>
            <w:r w:rsidRPr="00E21021">
              <w:rPr>
                <w:rFonts w:ascii="仿宋_GB2312" w:eastAsia="仿宋_GB2312" w:hAnsi="宋体" w:cs="宋体" w:hint="eastAsia"/>
                <w:color w:val="333333"/>
                <w:kern w:val="0"/>
                <w:sz w:val="32"/>
                <w:szCs w:val="32"/>
              </w:rPr>
              <w:t>本办法自印发之日起施行，由教务处负责解释，原《</w:t>
            </w:r>
            <w:r w:rsidRPr="00E21021">
              <w:rPr>
                <w:rFonts w:ascii="仿宋_GB2312" w:eastAsia="仿宋_GB2312" w:hAnsi="宋体" w:cs="宋体" w:hint="eastAsia"/>
                <w:bCs/>
                <w:color w:val="333333"/>
                <w:kern w:val="0"/>
                <w:sz w:val="32"/>
                <w:szCs w:val="32"/>
              </w:rPr>
              <w:t>安徽工业大学公共选修课管理办法</w:t>
            </w:r>
            <w:r w:rsidRPr="00E21021">
              <w:rPr>
                <w:rFonts w:ascii="仿宋_GB2312" w:eastAsia="仿宋_GB2312" w:hAnsi="宋体" w:cs="宋体" w:hint="eastAsia"/>
                <w:color w:val="333333"/>
                <w:kern w:val="0"/>
                <w:sz w:val="32"/>
                <w:szCs w:val="32"/>
              </w:rPr>
              <w:t>》（教学〔2006〕2号）同时废止。</w:t>
            </w:r>
          </w:p>
          <w:p w:rsidR="00E21021" w:rsidRPr="00E21021" w:rsidRDefault="00E21021" w:rsidP="00E21021">
            <w:pPr>
              <w:widowControl/>
              <w:spacing w:line="600" w:lineRule="exact"/>
              <w:jc w:val="left"/>
              <w:rPr>
                <w:rFonts w:ascii="仿宋_GB2312" w:eastAsia="仿宋_GB2312" w:hAnsi="宋体" w:cs="宋体"/>
                <w:color w:val="333333"/>
                <w:kern w:val="0"/>
                <w:sz w:val="32"/>
                <w:szCs w:val="32"/>
              </w:rPr>
            </w:pPr>
            <w:r w:rsidRPr="00E21021">
              <w:rPr>
                <w:rFonts w:ascii="宋体" w:eastAsia="宋体" w:hAnsi="宋体" w:cs="宋体" w:hint="eastAsia"/>
                <w:color w:val="333333"/>
                <w:kern w:val="0"/>
                <w:sz w:val="24"/>
                <w:szCs w:val="24"/>
              </w:rPr>
              <w:pict>
                <v:group id="tail" o:spid="_x0000_s1026" editas="canvas" style="position:absolute;margin-left:14.15pt;margin-top:632.85pt;width:425.2pt;height:139.65pt;z-index:251658240;mso-position-vertical-relative:page" coordorigin="1800,12672" coordsize="8504,2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2672;width:8504;height:2793" o:preferrelative="f" fillcolor="red" strokecolor="red" strokeweight="6pt">
                    <v:fill o:detectmouseclick="t"/>
                    <v:path o:extrusionok="t" o:connecttype="none"/>
                    <o:lock v:ext="edit" aspectratio="f"/>
                  </v:shape>
                  <v:shapetype id="_x0000_t202" coordsize="21600,21600" o:spt="202" path="m,l,21600r21600,l21600,xe">
                    <v:stroke joinstyle="miter"/>
                    <v:path gradientshapeok="t" o:connecttype="rect"/>
                  </v:shapetype>
                  <v:shape id="M_zhutici" o:spid="_x0000_s1028" type="#_x0000_t202" style="position:absolute;left:1800;top:13367;width:6659;height:568;visibility:visible;mso-position-vertical-relative:page" filled="f" stroked="f">
                    <v:textbox style="mso-next-textbox:#M_zhutici" inset="0,0,0,0">
                      <w:txbxContent>
                        <w:tbl>
                          <w:tblPr>
                            <w:tblW w:w="5000" w:type="pct"/>
                            <w:tblCellSpacing w:w="0" w:type="dxa"/>
                            <w:tblCellMar>
                              <w:left w:w="0" w:type="dxa"/>
                              <w:right w:w="0" w:type="dxa"/>
                            </w:tblCellMar>
                            <w:tblLook w:val="04A0"/>
                          </w:tblPr>
                          <w:tblGrid>
                            <w:gridCol w:w="6674"/>
                          </w:tblGrid>
                          <w:tr w:rsidR="00E21021">
                            <w:trPr>
                              <w:tblCellSpacing w:w="0" w:type="dxa"/>
                            </w:trPr>
                            <w:tc>
                              <w:tcPr>
                                <w:tcW w:w="0" w:type="auto"/>
                                <w:tcBorders>
                                  <w:top w:val="nil"/>
                                  <w:left w:val="nil"/>
                                  <w:bottom w:val="nil"/>
                                  <w:right w:val="nil"/>
                                </w:tcBorders>
                                <w:shd w:val="clear" w:color="auto" w:fill="auto"/>
                                <w:vAlign w:val="center"/>
                                <w:hideMark/>
                              </w:tcPr>
                              <w:p w:rsidR="00E21021" w:rsidRDefault="00E21021">
                                <w:pPr>
                                  <w:rPr>
                                    <w:rFonts w:ascii="宋体" w:eastAsia="宋体" w:hAnsi="宋体" w:cs="宋体"/>
                                    <w:color w:val="333333"/>
                                    <w:sz w:val="24"/>
                                    <w:szCs w:val="24"/>
                                  </w:rPr>
                                </w:pPr>
                              </w:p>
                            </w:tc>
                          </w:tr>
                        </w:tbl>
                        <w:p w:rsidR="00E21021" w:rsidRDefault="00E21021" w:rsidP="00E21021"/>
                      </w:txbxContent>
                    </v:textbox>
                  </v:shape>
                  <v:line id="M_topline" o:spid="_x0000_s1029" style="position:absolute;visibility:visible;mso-position-horizontal-relative:margin;mso-position-vertical-relative:page" from="1800,14706" to="10304,14707">
                    <v:textbox>
                      <w:txbxContent>
                        <w:p w:rsidR="00E21021" w:rsidRDefault="00E21021" w:rsidP="00E21021"/>
                      </w:txbxContent>
                    </v:textbox>
                  </v:line>
                  <v:shape id="M_bumen" o:spid="_x0000_s1030" type="#_x0000_t202" alt="文本框: 青海省发展和改革委员会办公室&#10;&#10;" style="position:absolute;left:1800;top:14766;width:4680;height:543;mso-position-vertical-relative:page" filled="f" stroked="f">
                    <v:textbox style="mso-next-textbox:#M_bumen" inset="0,0,0,0">
                      <w:txbxContent>
                        <w:tbl>
                          <w:tblPr>
                            <w:tblW w:w="5000" w:type="pct"/>
                            <w:tblCellSpacing w:w="0" w:type="dxa"/>
                            <w:tblCellMar>
                              <w:left w:w="0" w:type="dxa"/>
                              <w:right w:w="0" w:type="dxa"/>
                            </w:tblCellMar>
                            <w:tblLook w:val="04A0"/>
                          </w:tblPr>
                          <w:tblGrid>
                            <w:gridCol w:w="4695"/>
                          </w:tblGrid>
                          <w:tr w:rsidR="00E21021">
                            <w:trPr>
                              <w:tblCellSpacing w:w="0" w:type="dxa"/>
                            </w:trPr>
                            <w:tc>
                              <w:tcPr>
                                <w:tcW w:w="0" w:type="auto"/>
                                <w:tcBorders>
                                  <w:top w:val="nil"/>
                                  <w:left w:val="nil"/>
                                  <w:bottom w:val="nil"/>
                                  <w:right w:val="nil"/>
                                </w:tcBorders>
                                <w:shd w:val="clear" w:color="auto" w:fill="auto"/>
                                <w:vAlign w:val="center"/>
                                <w:hideMark/>
                              </w:tcPr>
                              <w:p w:rsidR="00E21021" w:rsidRDefault="00E21021">
                                <w:pPr>
                                  <w:ind w:firstLineChars="100" w:firstLine="280"/>
                                  <w:rPr>
                                    <w:rFonts w:ascii="仿宋_GB2312" w:eastAsia="仿宋_GB2312" w:hint="eastAsia"/>
                                    <w:color w:val="333333"/>
                                    <w:sz w:val="28"/>
                                    <w:szCs w:val="28"/>
                                  </w:rPr>
                                </w:pPr>
                                <w:r>
                                  <w:rPr>
                                    <w:rFonts w:ascii="仿宋_GB2312" w:eastAsia="仿宋_GB2312" w:hint="eastAsia"/>
                                    <w:color w:val="333333"/>
                                    <w:sz w:val="28"/>
                                    <w:szCs w:val="28"/>
                                  </w:rPr>
                                  <w:t>安徽工业大学办公室印制</w:t>
                                </w:r>
                              </w:p>
                              <w:p w:rsidR="00E21021" w:rsidRDefault="00E21021">
                                <w:pPr>
                                  <w:rPr>
                                    <w:rFonts w:ascii="新宋体" w:eastAsia="新宋体" w:hAnsi="新宋体" w:cs="宋体"/>
                                    <w:color w:val="333333"/>
                                    <w:sz w:val="32"/>
                                    <w:szCs w:val="32"/>
                                  </w:rPr>
                                </w:pPr>
                                <w:r>
                                  <w:rPr>
                                    <w:rFonts w:ascii="新宋体" w:eastAsia="新宋体" w:hAnsi="新宋体" w:hint="eastAsia"/>
                                    <w:color w:val="000000"/>
                                    <w:sz w:val="32"/>
                                    <w:szCs w:val="32"/>
                                    <w:lang w:val="zh-CN"/>
                                  </w:rPr>
                                  <w:t>青海省发展和改革委员会办公室</w:t>
                                </w:r>
                              </w:p>
                            </w:tc>
                          </w:tr>
                        </w:tbl>
                        <w:p w:rsidR="00E21021" w:rsidRDefault="00E21021" w:rsidP="00E21021"/>
                      </w:txbxContent>
                    </v:textbox>
                  </v:shape>
                  <v:shape id="M_yinfa" o:spid="_x0000_s1031" type="#_x0000_t202" style="position:absolute;left:6480;top:14766;width:3600;height:543;mso-position-vertical-relative:page" filled="f" stroked="f">
                    <v:textbox style="mso-next-textbox:#M_yinfa" inset="0,0,0,0">
                      <w:txbxContent>
                        <w:tbl>
                          <w:tblPr>
                            <w:tblW w:w="5000" w:type="pct"/>
                            <w:tblCellSpacing w:w="0" w:type="dxa"/>
                            <w:tblCellMar>
                              <w:left w:w="0" w:type="dxa"/>
                              <w:right w:w="0" w:type="dxa"/>
                            </w:tblCellMar>
                            <w:tblLook w:val="04A0"/>
                          </w:tblPr>
                          <w:tblGrid>
                            <w:gridCol w:w="3615"/>
                          </w:tblGrid>
                          <w:tr w:rsidR="00E21021">
                            <w:trPr>
                              <w:tblCellSpacing w:w="0" w:type="dxa"/>
                            </w:trPr>
                            <w:tc>
                              <w:tcPr>
                                <w:tcW w:w="0" w:type="auto"/>
                                <w:tcBorders>
                                  <w:top w:val="nil"/>
                                  <w:left w:val="nil"/>
                                  <w:bottom w:val="nil"/>
                                  <w:right w:val="nil"/>
                                </w:tcBorders>
                                <w:shd w:val="clear" w:color="auto" w:fill="auto"/>
                                <w:vAlign w:val="center"/>
                                <w:hideMark/>
                              </w:tcPr>
                              <w:p w:rsidR="00E21021" w:rsidRDefault="00E21021">
                                <w:pPr>
                                  <w:ind w:right="280"/>
                                  <w:jc w:val="right"/>
                                  <w:rPr>
                                    <w:rFonts w:ascii="仿宋_GB2312" w:eastAsia="仿宋_GB2312" w:hAnsi="宋体" w:cs="宋体"/>
                                    <w:color w:val="333333"/>
                                    <w:sz w:val="28"/>
                                    <w:szCs w:val="28"/>
                                  </w:rPr>
                                </w:pPr>
                                <w:r>
                                  <w:rPr>
                                    <w:rFonts w:ascii="仿宋_GB2312" w:eastAsia="仿宋_GB2312" w:hint="eastAsia"/>
                                    <w:color w:val="333333"/>
                                    <w:sz w:val="28"/>
                                    <w:szCs w:val="28"/>
                                  </w:rPr>
                                  <w:t>2013</w:t>
                                </w:r>
                                <w:r>
                                  <w:rPr>
                                    <w:rFonts w:ascii="仿宋_GB2312" w:eastAsia="仿宋_GB2312" w:hint="eastAsia"/>
                                    <w:color w:val="333333"/>
                                    <w:sz w:val="28"/>
                                    <w:szCs w:val="28"/>
                                  </w:rPr>
                                  <w:t>年6月3日印发</w:t>
                                </w:r>
                              </w:p>
                            </w:tc>
                          </w:tr>
                        </w:tbl>
                        <w:p w:rsidR="00E21021" w:rsidRDefault="00E21021" w:rsidP="00E21021"/>
                      </w:txbxContent>
                    </v:textbox>
                  </v:shape>
                  <v:line id="_x0000_s1032" style="position:absolute;mso-position-horizontal-relative:margin;mso-position-vertical-relative:page" from="1800,15405" to="10304,15406"/>
                  <w10:wrap anchory="page"/>
                </v:group>
              </w:pict>
            </w:r>
          </w:p>
        </w:tc>
      </w:tr>
    </w:tbl>
    <w:p w:rsidR="002C271B" w:rsidRPr="00E21021" w:rsidRDefault="002C271B"/>
    <w:sectPr w:rsidR="002C271B" w:rsidRPr="00E21021" w:rsidSect="002C27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1021"/>
    <w:rsid w:val="002C271B"/>
    <w:rsid w:val="003E2015"/>
    <w:rsid w:val="00E210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5101">
    <w:name w:val="timestyle5101"/>
    <w:basedOn w:val="a0"/>
    <w:rsid w:val="00E21021"/>
    <w:rPr>
      <w:sz w:val="18"/>
      <w:szCs w:val="18"/>
    </w:rPr>
  </w:style>
</w:styles>
</file>

<file path=word/webSettings.xml><?xml version="1.0" encoding="utf-8"?>
<w:webSettings xmlns:r="http://schemas.openxmlformats.org/officeDocument/2006/relationships" xmlns:w="http://schemas.openxmlformats.org/wordprocessingml/2006/main">
  <w:divs>
    <w:div w:id="1173178389">
      <w:bodyDiv w:val="1"/>
      <w:marLeft w:val="0"/>
      <w:marRight w:val="0"/>
      <w:marTop w:val="0"/>
      <w:marBottom w:val="0"/>
      <w:divBdr>
        <w:top w:val="none" w:sz="0" w:space="0" w:color="auto"/>
        <w:left w:val="none" w:sz="0" w:space="0" w:color="auto"/>
        <w:bottom w:val="none" w:sz="0" w:space="0" w:color="auto"/>
        <w:right w:val="none" w:sz="0" w:space="0" w:color="auto"/>
      </w:divBdr>
      <w:divsChild>
        <w:div w:id="860045999">
          <w:marLeft w:val="0"/>
          <w:marRight w:val="0"/>
          <w:marTop w:val="0"/>
          <w:marBottom w:val="0"/>
          <w:divBdr>
            <w:top w:val="none" w:sz="0" w:space="0" w:color="auto"/>
            <w:left w:val="none" w:sz="0" w:space="0" w:color="auto"/>
            <w:bottom w:val="none" w:sz="0" w:space="0" w:color="auto"/>
            <w:right w:val="none" w:sz="0" w:space="0" w:color="auto"/>
          </w:divBdr>
          <w:divsChild>
            <w:div w:id="12810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2016-06-03T05:23:00Z</dcterms:created>
  <dcterms:modified xsi:type="dcterms:W3CDTF">2016-06-03T05:24:00Z</dcterms:modified>
</cp:coreProperties>
</file>